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This can be a non-trivial task, for example as with parallel processes or some unusual software bugs.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readability is more than just programming style.</w:t>
        <w:br/>
        <w:t>Some languages are more prone to some kinds of faults because their specification does not require compilers to perform as much checking as other languages.</w:t>
        <w:br/>
        <w:t>There exist a lot of different approaches for each of those tasks.</w:t>
        <w:br/>
        <w:t>Normally the first step in debugging is to attempt to reproduce the problem.</w:t>
        <w:br/>
        <w:t>Unreadable code often leads to bugs, inefficiencies, and duplicated code.</w:t>
        <w:br/>
        <w:t>Expert programmers are familiar with a variety of well-established algorithms and their respective complexities and use this knowledge to choose algorithms that are best suited to the circumstances.</w:t>
        <w:br/>
        <w:t>There exist a lot of different approaches for each of those tasks.</w:t>
        <w:br/>
        <w:t>Relatedly, software engineering combines engineering techniques and principles with software development.</w:t>
        <w:br/>
        <w:t>As early as the 9th century, a programmable music sequencer was invented by the Persian Banu Musa brothers, who described an automated mechanical flute player in the Book of Ingenious Devices.</w:t>
        <w:br/>
        <w:t>By the late 1960s, data storage devices and computer terminals became inexpensive enough that programs could be created by typing directly into the computers.</w:t>
        <w:br/>
        <w:t>In 1801, the Jacquard loom could produce entirely different weaves by changing the "program" – a series of pasteboard cards with holes punched in them.</w:t>
        <w:br/>
        <w:t>However, Charles Babbage had already written his first program for the Analytical Engine in 1837.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