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Transpiling on the other hand, takes the source-code from a high-level programming language and converts it into bytecode.</w:t>
        <w:br/>
        <w:t>By the late 1960s, data storage devices and computer terminals became inexpensive enough that programs could be created by typing directly into the computers.</w:t>
        <w:br/>
        <w:t>He gave the first description of cryptanalysis by frequency analysis, the earliest code-breaking algorithm.</w:t>
        <w:br/>
        <w:t>For this purpose, algorithms are classified into orders using so-called Big O notation, which expresses resource use, such as execution time or memory consumption, in terms of the size of an input.</w:t>
        <w:br/>
        <w:t>Compiling takes the source code from a low-level programming language and converts it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For this purpose, algorithms are classified into orders using so-called Big O notation, which expresses resource use, such as execution time or memory consumption, in terms of the size of an input.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Compilers harnessed the power of computers to make programming easier by allowing programmers to specify calculations by entering a formula using infix notation.</w:t>
        <w:br/>
        <w:t>Proficient programming thus usually requires expertise in several different subjects, including knowledge of the application domain, specialized algorithms, and formal logic.</w:t>
        <w:br/>
        <w:t>For example, COBOL is still strong in corporate data centers often on large mainframe computers, Fortran in engineering applications, scripting languages in Web development, and C in embedded software.</w:t>
        <w:br/>
        <w:t>The choice of language used is subject to many considerations, such as company policy, suitability to task, availability of third-party packages, or individual preference.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