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As early as the 9th century, a programmable music sequencer was invented by the Persian Banu Musa brothers, who described an automated mechanical flute player in the Book of Ingenious Devices.</w:t>
        <w:br/>
        <w:t>For example, COBOL is still strong in corporate data centers often on large mainframe computers, Fortran in engineering applications, scripting languages in Web development, and C in embedded software.</w:t>
        <w:br/>
        <w:t>Trade-offs from this ideal involve finding enough programmers who know the language to build a team, the availability of compilers for that language, and the efficiency with which programs written in a given language execute.</w:t>
        <w:br/>
        <w:t>The choice of language used is subject to many considerations, such as company policy, suitability to task, availability of third-party packages, or individual preference.</w:t>
        <w:br/>
        <w:t>Assembly languages were soon developed that let the programmer specify instruction in a text format (e.g., ADD X, TOTAL), with abbreviations for each operation code and meaningful names for specifying addresses.</w:t>
        <w:br/>
        <w:t>Techniques like Code refactoring can enhance readability.</w:t>
        <w:br/>
        <w:t>Compilers harnessed the power of computers to make programming easier by allowing programmers to specify calculations by entering a formula using infix notation.</w:t>
        <w:br/>
        <w:t>Ideally, the programming language best suited for the task at hand will be selected.</w:t>
        <w:br/>
        <w:t xml:space="preserve"> The academic field and the engineering practice of computer programming are both largely concerned with discovering and implementing the most efficient algorithms for a given class of problems.</w:t>
        <w:br/>
        <w:t>It is usually easier to code in "high-level" languages than in "low-level" ones.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