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is usually easier to code in "high-level" languages than in "low-level" ones.</w:t>
        <w:br/>
        <w:t>He gave the first description of cryptanalysis by frequency analysis, the earliest code-breaking algorithm.</w:t>
        <w:br/>
        <w:t>Many factors, having little or nothing to do with the ability of the computer to efficiently compile and execute the code, contribute to readability.</w:t>
        <w:br/>
        <w:t>They are the building blocks for all software, from the simplest applications to the most sophisticated ones.</w:t>
        <w:br/>
        <w:t>Unreadable code often leads to bugs, inefficiencies, and duplicated code.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  <w:br/>
        <w:t xml:space="preserve"> High-level languages made the process of developing a program simpler and more understandable, and less bound to the underlying hardware.</w:t>
        <w:br/>
        <w:t xml:space="preserve"> Code-breaking algorithms have also existed for centuries.</w:t>
        <w:br/>
        <w:t>Text editors were also developed that allowed changes and corrections to be made much more easily than with punched cards.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