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when a bug in a compiler can make it crash when parsing some large source file, a simplification of the test case that results in only few lines from the original source file can be sufficient to reproduce the same crash.</w:t>
        <w:br/>
        <w:t>Trial-and-error/divide-and-conquer is needed: the programmer will try to remove some parts of the original test case and check if the problem still exists.</w:t>
        <w:br/>
        <w:t>For example, when a bug in a compiler can make it crash when parsing some large source file, a simplification of the test case that results in only few lines from the original source file can be sufficient to reproduce the same crash.</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Languages form an approximate spectrum from "low-level" to "high-level"; "low-level" languages are typically more machine-oriented and faster to execute, whereas "high-level" languages are more abstract and easier to use but execute less quickly.</w:t>
        <w:br/>
        <w:t>Some text editors such as Emacs allow GDB to be invoked through them, to provide a visual environment.</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The purpose of programming is to find a sequence of instructions that will automate the performance of a task (which can be as complex as an operating system) on a computer, often for solving a given problem.</w:t>
        <w:br/>
        <w:t xml:space="preserve"> Tasks accompanying and related to programming include testing, debugging, source code maintenance, implementation of build systems, and management of derived artifacts, such as the machine code of computer programs.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