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Trade-offs from this ideal involve finding enough programmers who know the language to build a team, the availability of compilers for that language, and the efficiency with which programs written in a given language execute.</w:t>
        <w:br/>
        <w:t>In 1801, the Jacquard loom could produce entirely different weaves by changing the "program" – a series of pasteboard cards with holes punched in them.</w:t>
        <w:br/>
        <w:t>Transpiling on the other hand, takes the source-code from a high-level programming language and converts it into bytecode.</w:t>
        <w:br/>
        <w:t>Unreadable code often leads to bugs, inefficiencies, and duplicated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1206, the Arab engineer Al-Jazari invented a programmable drum machine where a musical mechanical automaton could be made to play different rhythms and drum patterns, via pegs and cams.</w:t>
        <w:br/>
        <w:t>Transpiling on the other hand, takes the source-code from a high-level programming language and converts it into bytecode.</w:t>
        <w:br/>
        <w:t>Compiling takes the source code from a low-level programming language and converts it into machine code.</w:t>
        <w:br/>
        <w:t>Many applications use a mix of several languages in their construction and use.</w:t>
        <w:br/>
        <w:t>There exist a lot of different approaches for each of those tasks.</w:t>
        <w:br/>
        <w:t>Many applications use a mix of several languages in their construction and use.</w:t>
        <w:br/>
        <w:t>Expert programmers are familiar with a variety of well-established algorithms and their respective complexities and use this knowledge to choose algorithms that are best suited to the circumstances.</w:t>
        <w:br/>
        <w:t xml:space="preserve"> Following a consistent programming style often helps readability.</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