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Integrated development environments (IDEs) aim to integrate all such help.</w:t>
        <w:br/>
        <w:t>A study found that a few simple readability transformations made code shorter and drastically reduced the time to understand it.</w:t>
        <w:br/>
        <w:t>One approach popular for requirements analysis is Use Case analysis.</w:t>
        <w:br/>
        <w:t>There exist a lot of different approaches for each of those tasks.</w:t>
        <w:br/>
        <w:t>Normally the first step in debugging is to attempt to reproduce the problem.</w:t>
        <w:br/>
        <w:t>Some text editors such as Emacs allow GDB to be invoked through them, to provide a visual environment.</w:t>
        <w:br/>
        <w:t>It affects the aspects of quality above, including portability, usability and most importantly maintainability.</w:t>
        <w:br/>
        <w:t>FORTRAN, the first widely used high-level language to have a functional implementation, came out in 1957, and many other languages were soon developed—in particular, COBOL aimed at commercial data processing, and Lisp for computer research.</w:t>
        <w:br/>
        <w:t xml:space="preserve"> Different programming languages support different styles of programming (called programming paradigms).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 academic field and the engineering practice of computer programming are both largely concerned with discovering and implementing the most efficient algorithms for a given class of problems.</w:t>
        <w:br/>
        <w:t xml:space="preserve"> Machine code was the language of early programs, written in the instruction set of the particular machine, often in binary notation.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