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To produce machine code, the source code must either be compiled or transpiled.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Expert programmers are familiar with a variety of well-established algorithms and their respective complexities and use this knowledge to choose algorithms that are best suited to the circumstances.</w:t>
        <w:br/>
        <w:t>Compiling takes the source code from a low-level programming language and converts it into machine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Use of a static code analysis tool can help detect some possible problems.</w:t>
        <w:br/>
        <w:t>Integrated development environments (IDEs) aim to integrate all such help.</w:t>
        <w:br/>
        <w:t>It is usually easier to code in "high-level" languages than in "low-level" ones.</w:t>
        <w:br/>
        <w:t>However, readability is more than just programming style.</w:t>
        <w:br/>
        <w:t>In 1801, the Jacquard loom could produce entirely different weaves by changing the "program" – a series of pasteboard cards with holes punched in them.</w:t>
        <w:br/>
        <w:t>However, readability is more than just programming style.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 xml:space="preserve"> Whatever the approach to development may be, the final program must satisfy some fundamental properties.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