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with the concept of the stored-program computer introduced in 1949, both programs and data were stored and manipulated in the same way in computer memory.</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Scripting and breakpointing is also part of this process.</w:t>
        <w:br/>
        <w:t>He gave the first description of cryptanalysis by frequency analysis, the earliest code-breaking algorithm.</w:t>
        <w:br/>
        <w:t>Scripting and breakpointing is also part of this process.</w:t>
        <w:br/>
        <w:t>However, Charles Babbage had already written his first program for the Analytical Engine in 1837.</w:t>
        <w:br/>
        <w:t>It affects the aspects of quality above, including portability, usability and most importantly maintainability.</w:t>
        <w:br/>
        <w:t>Trial-and-error/divide-and-conquer is needed: the programmer will try to remove some parts of the original test case and check if the problem still exists.</w:t>
        <w:br/>
        <w:t>It is usually easier to code in "high-level" languages than in "low-level" ones.</w:t>
        <w:br/>
        <w:t>Languages form an approximate spectrum from "low-level" to "high-level"; "low-level" languages are typically more machine-oriented and faster to execute, whereas "high-level" languages are more abstract and easier to use but execute less quickly.</w:t>
        <w:br/>
        <w:t>The following properties are among the most important:</w:t>
        <w:br/>
        <w:br/>
        <w:t xml:space="preserve"> In computer programming, readability refers to the ease with which a human reader can comprehend the purpose, control flow, and operation of source code.</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