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Integrated development environments (IDEs) aim to integrate all such help.</w:t>
        <w:br/>
        <w:t>However, because an assembly language is little more than a different notation for a machine language,  two machines with different instruction sets also have different assembly languages.</w:t>
        <w:br/>
        <w:t>Text editors were also developed that allowed changes and corrections to be made much more easily than with punched cards.</w:t>
        <w:br/>
        <w:t>Transpiling on the other hand, takes the source-code from a high-level programming language and converts it into bytecode.</w:t>
        <w:br/>
        <w:t>Transpiling on the other hand, takes the source-code from a high-level programming language and converts it into bytecode.</w:t>
        <w:br/>
        <w:t>Normally the first step in debugging is to attempt to reproduce the problem.</w:t>
        <w:br/>
        <w:t>Techniques like Code refactoring can enhance readability.</w:t>
        <w:br/>
        <w:t>Assembly languages were soon developed that let the programmer specify instruction in a text format (e.g., ADD X, TOTAL), with abbreviations for each operation code and meaningful names for specifying addresses.</w:t>
        <w:br/>
        <w:t>The source code of a program is written in one or more languages that are intelligible to programmers, rather than machine code, which is directly executed by the central processing unit.</w:t>
        <w:br/>
        <w:t>Use of a static code analysis tool can help detect some possible problems.</w:t>
        <w:br/>
        <w:t>Some of these factors include:</w:t>
        <w:br/>
        <w:t xml:space="preserve"> The presentation aspects of this (such as indents, line breaks, color highlighting, and so on) are often handled by the source code editor, but the content aspects reflect the programmer's talent and skills.</w:t>
        <w:br/>
        <w:t>He gave the first description of cryptanalysis by frequency analysis, the earliest code-breaking algorithm.</w:t>
        <w:br/>
        <w:t>However, because an assembly language is little more than a different notation for a machine language,  two machines with different instruction sets also have different assembly languages.</w:t>
        <w:br/>
        <w:t>However, Charles Babbage had already written his first program for the Analytical Engine in 1837.</w:t>
        <w:br/>
        <w:t>However, readability is more than just programming style.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