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Many factors, having little or nothing to do with the ability of the computer to efficiently compile and execute the code, contribute to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factors, having little or nothing to do with the ability of the computer to efficiently compile and execute the code, contribute to readability.</w:t>
        <w:br/>
        <w:t>In the 9th century, the Arab mathematician Al-Kindi described a cryptographic algorithm for deciphering encrypted code, in A Manuscript on Deciphering Cryptographic Messages.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choice of language used is subject to many considerations, such as company policy, suitability to task, availability of third-party packages, or individual preference.</w:t>
        <w:br/>
        <w:t>Languages form an approximate spectrum from "low-level" to "high-level"; "low-level" languages are typically more machine-oriented and faster to execute, whereas "high-level" languages are more abstract and easier to use but execute less quickly.</w:t>
        <w:br/>
        <w:t>Trial-and-error/divide-and-conquer is needed: the programmer will try to remove some parts of the original test case and check if the problem still exists.</w:t>
        <w:br/>
        <w:t>As early as the 9th century, a programmable music sequencer was invented by the Persian Banu Musa brothers, who described an automated mechanical flute player in the Book of Ingenious Devices.</w:t>
        <w:br/>
        <w:t>There exist a lot of different approaches for each of those tasks.</w:t>
        <w:br/>
        <w:t>They are the building blocks for all software, from the simplest applications to the most sophisticated ones.</w:t>
        <w:br/>
        <w:t>Relatedly, software engineering combines engineering techniques and principles with software development.</w:t>
        <w:br/>
        <w:t>This can be a non-trivial task, for example as with parallel processes or some unusual software bugs.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