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The choice of language used is subject to many considerations, such as company policy, suitability to task, availability of third-party packages, or individual preference.</w:t>
        <w:br/>
        <w:t>Techniques like Code refactoring can enhance readability.</w:t>
        <w:br/>
        <w:t>He gave the first description of cryptanalysis by frequency analysis, the earliest code-breaking algorithm.</w:t>
        <w:br/>
        <w:t>Text editors were also developed that allowed changes and corrections to be made much more easily than with punched cards.</w:t>
        <w:br/>
        <w:t>When debugging the problem in a GUI, the programmer can try to skip some user interaction from the original problem description and check if remaining actions are sufficient for bugs to appear.</w:t>
        <w:br/>
        <w:t>The choice of language used is subject to many considerations, such as company policy, suitability to task, availability of third-party packages, or individual preference.</w:t>
        <w:br/>
        <w:t>Some languages are more prone to some kinds of faults because their specification does not require compilers to perform as much checking as other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choice of language used is subject to many considerations, such as company policy, suitability to task, availability of third-party packages, or individual preference.</w:t>
        <w:br/>
        <w:t>Transpiling on the other hand, takes the source-code from a high-level programming language and converts it into bytecode.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The source code of a program is written in one or more languages that are intelligible to programmers, rather than machine code, which is directly executed by the central processing unit.</w:t>
        <w:br/>
        <w:t>This is interpreted into machine code.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