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Compilers harnessed the power of computers to make programming easier by allowing programmers to specify calculations by entering a formula using infix notation.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Scripting and breakpointing is also part of this process.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By the late 1960s, data storage devices and computer terminals became inexpensive enough that programs could be created by typing directly into the computers.</w:t>
        <w:br/>
        <w:t xml:space="preserve"> Following a consistent programming style often helps readability.</w:t>
        <w:br/>
        <w:t>Many applications use a mix of several languages in their construction and use.</w:t>
        <w:br/>
        <w:t>The choice of language used is subject to many considerations, such as company policy, suitability to task, availability of third-party packages, or individual preference.</w:t>
        <w:br/>
        <w:t>He gave the first description of cryptanalysis by frequency analysis, the earliest code-breaking algorithm.</w:t>
        <w:br/>
        <w:t>This can be a non-trivial task, for example as with parallel processes or some unusual software bugs.</w:t>
        <w:br/>
        <w:t>However, with the concept of the stored-program computer introduced in 1949, both programs and data were stored and manipulated in the same way in computer memory.</w:t>
        <w:br/>
        <w:t>Some languages are more prone to some kinds of faults because their specification does not require compilers to perform as much checking as other languages.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