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Ideally, the programming language best suited for the task at hand will be selected.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languages are more prone to some kinds of faults because their specification does not require compilers to perform as much checking as other languages.</w:t>
        <w:br/>
        <w:t>Some text editors such as Emacs allow GDB to be invoked through them, to provide a visual environment.</w:t>
        <w:br/>
        <w:t>The choice of language used is subject to many considerations, such as company policy, suitability to task, availability of third-party packages, or individual preference.</w:t>
        <w:br/>
        <w:t>Techniques like Code refactoring can enhance readability.</w:t>
        <w:br/>
        <w:t>Also, specific user environment and usage history can make it difficult to reproduce the problem.</w:t>
        <w:br/>
        <w:t xml:space="preserve"> Code-breaking algorithms have also existed for centuries.</w:t>
        <w:br/>
        <w:t>Trade-offs from this ideal involve finding enough programmers who know the language to build a team, the availability of compilers for that language, and the efficiency with which programs written in a given language execute.</w:t>
        <w:br/>
        <w:t xml:space="preserve"> Programmable devices have existed for centuries.</w:t>
        <w:br/>
        <w:t>Text editors were also developed that allowed changes and corrections to be made much more easily than with punched cards.</w:t>
        <w:br/>
        <w:t xml:space="preserve"> High-level languages made the process of developing a program simpler and more understandable, and less bound to the underlying hardware.</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