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Integrated development environments (IDEs) aim to integrate all such help.</w:t>
        <w:br/>
        <w:t>By the late 1960s, data storage devices and computer terminals became inexpensive enough that programs could be created by typing directly into the computers.</w:t>
        <w:br/>
        <w:t>One approach popular for requirements analysis is Use Case analysis.</w:t>
        <w:br/>
        <w:t>Integrated development environments (IDEs) aim to integrate all such help.</w:t>
        <w:br/>
        <w:t>They are the building blocks for all software, from the simplest applications to the most sophisticated ones.</w:t>
        <w:br/>
        <w:t>Proficient programming thus usually requires expertise in several different subjects, including knowledge of the application domain, specialized algorithms, and formal logic.</w:t>
        <w:br/>
        <w:t>The following properties are among the most important:</w:t>
        <w:br/>
        <w:br/>
        <w:t xml:space="preserve"> In computer programming, readability refers to the ease with which a human reader can comprehend the purpose, control flow, and operation of source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By the late 1960s, data storage devices and computer terminals became inexpensive enough that programs could be created by typing directly into the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Compiling takes the source code from a low-level programming language and converts it into machine code.</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