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Assembly languages were soon developed that let the programmer specify instruction in a text format (e.g., ADD X, TOTAL), with abbreviations for each operation code and meaningful names for specifying addresses.</w:t>
        <w:br/>
        <w:t>When debugging the problem in a GUI, the programmer can try to skip some user interaction from the original problem description and check if remaining actions are sufficient for bugs to appear.</w:t>
        <w:b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Unreadable code often leads to bugs, inefficiencies, and duplicated code.</w:t>
        <w:br/>
        <w:t>However, because an assembly language is little more than a different notation for a machine language,  two machines with different instruction sets also have different assembly languages.</w:t>
        <w:br/>
        <w:t>Text editors were also developed that allowed changes and corrections to be made much more easily than with punched cards.</w:t>
        <w:br/>
        <w:t>By the late 1960s, data storage devices and computer terminals became inexpensive enough that programs could be created by typing directly into the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They are the building blocks for all software, from the simplest applications to the most sophisticated ones.</w:t>
        <w:br/>
        <w:t xml:space="preserve"> Popular modeling techniques include Object-Oriented Analysis and Design (OOAD) and Model-Driven Architecture (MDA).</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