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However, readability is more than just programming style.</w:t>
        <w:br/>
        <w:t>Also, specific user environment and usage history can make it difficult to reproduce the problem.</w:t>
        <w:br/>
        <w:t>To produce machine code, the source code must either be compiled or transpiled.</w:t>
        <w:br/>
        <w:t>Languages form an approximate spectrum from "low-level" to "high-level"; "low-level" languages are typically more machine-oriented and faster to execute, whereas "high-level" languages are more abstract and easier to use but execute less quickly.</w:t>
        <w:br/>
        <w:t>It is usually easier to code in "high-level" languages than in "low-level" ones.</w:t>
        <w:br/>
        <w:t>Programming involves tasks such as analysis, generating algorithms, profiling algorithms' accuracy and resource consumption, and the implementation of algorithms (usually in a particular programming language, commonly referred to as coding).</w:t>
        <w:br/>
        <w:t>Integrated development environments (IDEs) aim to integrate all such help.</w:t>
        <w:br/>
        <w:t>Integrated development environments (IDEs) aim to integrate all such help.</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For this purpose, algorithms are classified into orders using so-called Big O notation, which expresses resource use, such as execution time or memory consumption, in terms of the size of an input.</w:t>
        <w:br/>
        <w:t>Provided the functions in a library follow the appropriate run-time conventions (e.g., method of passing arguments), then these functions may be written in any other language.</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