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Proficient programming thus usually requires expertise in several different subjects, including knowledge of the application domain, specialized algorithms, and formal logic.</w:t>
        <w:br/>
        <w:t>As early as the 9th century, a programmable music sequencer was invented by the Persian Banu Musa brothers, who described an automated mechanical flute player in the Book of Ingenious Devices.</w:t>
        <w:br/>
        <w:t>He gave the first description of cryptanalysis by frequency analysis, the earliest code-breaking algorithm.</w:t>
        <w:br/>
        <w:t>The choice of language used is subject to many considerations, such as company policy, suitability to task, availability of third-party packages, or individual preference.</w:t>
        <w:br/>
        <w:t>It affects the aspects of quality above, including portability, usability and most importantly maintainability.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By the late 1960s, data storage devices and computer terminals became inexpensive enough that programs could be created by typing directly into the computers.</w:t>
        <w:br/>
        <w:t xml:space="preserve"> Some languages are very popular for particular kinds of applications, while some languages are regularly used to write many different kinds of applications.</w:t>
        <w:br/>
        <w:t>Expert programmers are familiar with a variety of well-established algorithms and their respective complexities and use this knowledge to choose algorithms that are best suited to the circumstances.</w:t>
        <w:br/>
        <w:t>Ideally, the programming language best suited for the task at hand will be selected.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