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The choice of language used is subject to many considerations, such as company policy, suitability to task, availability of third-party packages, or individual preference.</w:t>
        <w:br/>
        <w:t>Use of a static code analysis tool can help detect some possible problems.</w:t>
        <w:br/>
        <w:t>There are many approaches to the Software development process.</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For example, when a bug in a compiler can make it crash when parsing some large source file, a simplification of the test case that results in only few lines from the original source file can be sufficient to reproduce the same crash.</w:t>
        <w:br/>
        <w:t>By the late 1960s, data storage devices and computer terminals became inexpensive enough that programs could be created by typing directly into the computers.</w:t>
        <w:br/>
        <w:t>Some languages are more prone to some kinds of faults because their specification does not require compilers to perform as much checking as other languages.</w:t>
        <w:br/>
        <w:t>Transpiling on the other hand, takes the source-code from a high-level programming language and converts it into bytecode.</w:t>
        <w:br/>
        <w:t xml:space="preserve"> The academic field and the engineering practice of computer programming are both largely concerned with discovering and implementing the most efficient algorithms for a given class of problems.</w:t>
        <w:br/>
        <w:t>For example, when a bug in a compiler can make it crash when parsing some large source file, a simplification of the test case that results in only few lines from the original source file can be sufficient to reproduce the same crash.</w:t>
        <w:br/>
        <w:t>Relatedly, software engineering combines engineering techniques and principles with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