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Trial-and-error/divide-and-conquer is needed: the programmer will try to remove some parts of the original test case and check if the problem still exist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