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Use of a static code analysis tool can help detect some possible problems.</w:t>
        <w:br/>
        <w:t>In 1801, the Jacquard loom could produce entirely different weaves by changing the "program" – a series of pasteboard cards with holes punched in them.</w:t>
        <w:br/>
        <w:t>Integrated development environments (IDEs) aim to integrate all such help.</w:t>
        <w:br/>
        <w:t>There are many approaches to the Software development process.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of these factors include:</w:t>
        <w:br/>
        <w:t xml:space="preserve"> The presentation aspects of this (such as indents, line breaks, color highlighting, and so on) are often handled by the source code editor, but the content aspects reflect the programmer's talent and skills.</w:t>
        <w:br/>
        <w:t>Some of these factors include:</w:t>
        <w:br/>
        <w:t xml:space="preserve"> The presentation aspects of this (such as indents, line breaks, color highlighting, and so on) are often handled by the source code editor, but the content aspects reflect the programmer's talent and skills.</w:t>
        <w:br/>
        <w:t>By the late 1960s, data storage devices and computer terminals became inexpensive enough that programs could be created by typing directly into the computers.</w:t>
        <w:br/>
        <w:t>In 1206, the Arab engineer Al-Jazari invented a programmable drum machine where a musical mechanical automaton could be made to play different rhythms and drum patterns, via pegs and cams.</w:t>
        <w:br/>
        <w:t>Programming languages are essential for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br/>
        <w:t>When debugging the problem in a GUI, the programmer can try to skip some user interaction from the original problem description and check if remaining actions are sufficient for bugs to appear.</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