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Different programming languages support different styles of programming (called programming paradigms).</w:t>
        <w:br/>
        <w:t>For example, COBOL is still strong in corporate data centers often on large mainframe computers, Fortran in engineering applications, scripting languages in Web development, and C in embedded software.</w:t>
        <w:br/>
        <w:br/>
        <w:t xml:space="preserve"> The first step in most formal software development processes is requirements analysis, followed by testing to determine value modeling, implementation, and failure elimination (debugging).</w:t>
        <w:br/>
        <w:t>As early as the 9th century, a programmable music sequencer was invented by the Persian Banu Musa brothers, who described an automated mechanical flute player in the Book of Ingenious Devices.</w:t>
        <w:br/>
        <w:t xml:space="preserve"> Whatever the approach to development may be, the final program must satisfy some fundamental properties.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