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Trial-and-error/divide-and-conquer is needed: the programmer will try to remove some parts of the original test case and check if the problem still exists.</w:t>
        <w:br/>
        <w:t>There exist a lot of different approaches for each of those tasks.</w:t>
        <w:br/>
        <w:t>Programming involves tasks such as analysis, generating algorithms, profiling algorithms' accuracy and resource consumption, and the implementation of algorithms (usually in a particular programming language, commonly referred to as coding).</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Techniques like Code refactoring can enhance readability.</w:t>
        <w:br/>
        <w:t>Techniques like Code refactoring can enhance readability.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This is interpreted into machine code.</w:t>
        <w:br/>
        <w:t>Languages form an approximate spectrum from "low-level" to "high-level"; "low-level" languages are typically more machine-oriented and faster to execute, whereas "high-level" languages are more abstract and easier to use but execute less quickly.</w:t>
        <w:br/>
        <w:t xml:space="preserve"> Computer programmers are those who write computer software.</w:t>
        <w:br/>
        <w:t xml:space="preserve"> Popular modeling techniques include Object-Oriented Analysis and Design (OOAD) and Model-Driven Architecture (MDA).</w:t>
        <w:br/>
        <w:t xml:space="preserve"> Allen Downey, in his book How To Think Like A Computer Scientist, writes:</w:t>
        <w:br/>
        <w:t xml:space="preserve"> Many computer languages provide a mechanism to call functions provided by shared libraries.</w:t>
        <w:br/>
        <w:t>Also, those involved with software development may at times engage in reverse engineering, which is the practice of seeking to understand an existing program so as to re-implement its function in some way.</w:t>
        <w:br/>
        <w:t xml:space="preserve"> Different programming languages support different styles of programming (called programming paradigms).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