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Ideally, the programming language best suited for the task at hand will be selected.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 xml:space="preserve"> Different programming languages support different styles of programming (called programming paradigms).</w:t>
        <w:br/>
        <w:t>He gave the first description of cryptanalysis by frequency analysis, the earliest code-breaking algorithm.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