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Scripting and breakpointing is also part of this process.</w:t>
        <w:br/>
        <w:t>This is interpreted into machine code.</w:t>
        <w:br/>
        <w:t>Ideally, the programming language best suited for the task at hand will be selected.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the 9th century, the Arab mathematician Al-Kindi described a cryptographic algorithm for deciphering encrypted code, in A Manuscript on Deciphering Cryptographic Messages.</w:t>
        <w:br/>
        <w:t>Integrated development environments (IDEs) aim to integrate all such help.</w:t>
        <w:br/>
        <w:t>He gave the first description of cryptanalysis by frequency analysis, the earliest code-breaking algorithm.</w:t>
        <w:br/>
        <w:t>Also, specific user environment and usage history can make it difficult to reproduce the problem.</w:t>
        <w:br/>
        <w:t>However, readability is more than just programming style.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Machine code was the language of early programs, written in the instruction set of the particular machine, often in binary notation.</w:t>
        <w:br/>
        <w:t>This is interpreted into machine code.</w:t>
        <w:br/>
        <w:t>Unreadable code often leads to bugs, inefficiencies, and duplicated code.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