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It affects the aspects of quality above, including portability, usability and most importantly maintainability.</w:t>
        <w:br/>
        <w:t>Transpiling on the other hand, takes the source-code from a high-level programming language and converts it into bytecode.</w:t>
        <w:br/>
        <w:t>However, readability is more than just programming style.</w:t>
        <w:br/>
        <w:t>He gave the first description of cryptanalysis by frequency analysis, the earliest code-breaking algorithm.</w:t>
        <w:br/>
        <w:t>They are the building blocks for all software, from the simplest applications to the most sophisticated ones.</w:t>
        <w:br/>
        <w:t>However, Charles Babbage had already written his first program for the Analytical Engine in 1837.</w:t>
        <w:br/>
        <w:t>This is interpreted into machine code.</w:t>
        <w:br/>
        <w:t>There exist a lot of different approaches for each of those tasks.</w:t>
        <w:br/>
        <w:t>Proficient programming thus usually requires expertise in several different subjects, including knowledge of the application domain, specialized algorithms, and formal logic.</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is interpreted into machine code.</w:t>
        <w:br/>
        <w:t>Integrated development environments (IDEs) aim to integrate all such help.</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