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Trade-offs from this ideal involve finding enough programmers who know the language to build a team, the availability of compilers for that language, and the efficiency with which programs written in a given language execute.</w:t>
        <w:br/>
        <w:t>However, readability is more than just programming style.</w:t>
        <w:br/>
        <w:t>Ideally, the programming language best suited for the task at hand will be selected.</w:t>
        <w:br/>
        <w:t>Transpiling on the other hand, takes the source-code from a high-level programming language and converts it into bytecode.</w:t>
        <w:br/>
        <w:t>Unreadable code often leads to bugs, inefficiencies, and duplicated code.</w:t>
        <w:br/>
        <w:t>Expert programmers are familiar with a variety of well-established algorithms and their respective complexities and use this knowledge to choose algorithms that are best suited to the circumstances.</w:t>
        <w:br/>
        <w:t>Normally the first step in debugging is to attempt to reproduce the problem.</w:t>
        <w:br/>
        <w:t>However, because an assembly language is little more than a different notation for a machine language,  two machines with different instruction sets also have different assembly languages.</w:t>
        <w:br/>
        <w:t>Programming involves tasks such as analysis, generating algorithms, profiling algorithms' accuracy and resource consumption, and the implementation of algorithms (usually in a particular programming language, commonly referred to as coding).</w:t>
        <w:br/>
        <w:t>Compilers harnessed the power of computers to make programming easier by allowing programmers to specify calculations by entering a formula using infix notation.</w:t>
        <w:br/>
        <w:t xml:space="preserve"> Code-breaking algorithms have also existed for centuries.</w:t>
        <w:br/>
        <w:t>He gave the first description of cryptanalysis by frequency analysis, the earliest code-breaking algorithm.</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