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with the concept of the stored-program computer introduced in 1949, both programs and data were stored and manipulated in the same way in computer memory.</w:t>
        <w:br/>
        <w:t>A study found that a few simple readability transformations made code shorter and drastically reduced the time to understand it.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Compilers harnessed the power of computers to make programming easier by allowing programmers to specify calculations by entering a formula using infix notation.</w:t>
        <w:br/>
        <w:t>The source code of a program is written in one or more languages that are intelligible to programmers, rather than machine code, which is directly executed by the central processing unit.</w:t>
        <w:br/>
        <w:t>Unreadable code often leads to bugs, inefficiencies, and duplicated code.</w:t>
        <w:br/>
        <w:t>Integrated development environments (IDEs) aim to integrate all such help.</w:t>
        <w:br/>
        <w:t>Expert programmers are familiar with a variety of well-established algorithms and their respective complexities and use this knowledge to choose algorithms that are best suited to the circumstances.</w:t>
        <w:br/>
        <w:t>They are the building blocks for all software, from the simplest applications to the most sophisticated ones.</w:t>
        <w:br/>
        <w:t xml:space="preserve"> Programmable devices have existed for centuries.</w:t>
        <w:br/>
        <w:t xml:space="preserve"> Different programming languages support different styles of programming (called programming paradigms).</w:t>
        <w:br/>
        <w:t>One approach popular for requirements analysis is Use Case analysis.</w:t>
        <w:br/>
        <w:t>Relatedly, software engineering combines engineering techniques and principles with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