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He gave the first description of cryptanalysis by frequency analysis, the earliest code-breaking algorithm.</w:t>
        <w:br/>
        <w:t>In 1206, the Arab engineer Al-Jazari invented a programmable drum machine where a musical mechanical automaton could be made to play different rhythms and drum patterns, via pegs and cams.</w:t>
        <w:br/>
        <w:t>However, readability is more than just programming style.</w:t>
        <w:br/>
        <w:t>Assembly languages were soon developed that let the programmer specify instruction in a text format (e.g., ADD X, TOTAL), with abbreviations for each operation code and meaningful names for specifying addresses.</w:t>
        <w:br/>
        <w:t>By the late 1960s, data storage devices and computer terminals became inexpensive enough that programs could be created by typing directly into the computers.</w:t>
        <w:br/>
        <w:t>Compiling takes the source code from a low-level programming language and converts it into machine code.</w:t>
        <w:br/>
        <w:t>The purpose of programming is to find a sequence of instructions that will automate the performance of a task (which can be as complex as an operating system) on a computer, often for solving a given problem.</w:t>
        <w:br/>
        <w:t>Programming languages are essential for software development.</w:t>
        <w:br/>
        <w:t>Techniques like Code refactoring can enhance readability.</w:t>
        <w:br/>
        <w:t>Transpiling on the other hand, takes the source-code from a high-level programming language and converts it into bytecode.</w:t>
        <w:br/>
        <w:t>Text editors were also developed that allowed changes and corrections to be made much more easily than with punched cards.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