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Transpiling on the other hand, takes the source-code from a high-level programming language and converts it into bytecode.</w:t>
        <w:br/>
        <w:t>They are the building blocks for all software, from the simplest applications to the most sophisticated ones.</w:t>
        <w:br/>
        <w:t>Integrated development environments (IDEs) aim to integrate all such help.</w:t>
        <w:br/>
        <w:t>Many applications use a mix of several languages in their construction and use.</w:t>
        <w:br/>
        <w:t>Some text editors such as Emacs allow GDB to be invoked through them, to provide a visual environment.</w:t>
        <w:br/>
        <w:t>Trial-and-error/divide-and-conquer is needed: the programmer will try to remove some parts of the original test case and check if the problem still exists.</w:t>
        <w:br/>
        <w:t>Some text editors such as Emacs allow GDB to be invoked through them, to provide a visual environment.</w:t>
        <w:br/>
        <w:t>There exist a lot of different approaches for each of those tasks.</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