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A study found that a few simple readability transformations made code shorter and drastically reduced the time to understand it.</w:t>
        <w:br/>
        <w:t>In 1801, the Jacquard loom could produce entirely different weaves by changing the "program" – a series of pasteboard cards with holes punched in them.</w:t>
        <w:br/>
        <w:t>There are many approaches to the Software development process.</w:t>
        <w:br/>
        <w:t>Normally the first step in debugging is to attempt to reproduce the problem.</w:t>
        <w:br/>
        <w:t>There exist a lot of different approaches for each of those tasks.</w:t>
        <w:br/>
        <w:t>It is usually easier to code in "high-level" languages than in "low-level"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Charles Babbage had already written his first program for the Analytical Engine in 1837.</w:t>
        <w:br/>
        <w:t>By the late 1960s, data storage devices and computer terminals became inexpensive enough that programs could be created by typing directly into the computers.</w:t>
        <w:br/>
        <w:t xml:space="preserve"> Various visual programming languages have also been developed with the intent to resolve readability concerns by adopting non-traditional approaches to code structure and display.</w:t>
        <w:br/>
        <w:t>He gave the first description of cryptanalysis by frequency analysis, the earliest code-breaking algorithm.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