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Unreadable code often leads to bugs, inefficiencies, and duplicated code.</w:t>
        <w:br/>
        <w:t>Assembly languages were soon developed that let the programmer specify instruction in a text format (e.g., ADD X, TOTAL), with abbreviations for each operation code and meaningful names for specifying addresses.</w:t>
        <w:br/>
        <w:t>Some text editors such as Emacs allow GDB to be invoked through them, to provide a visual environment.</w:t>
        <w:br/>
        <w:t>However, readability is more than just programming style.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Debugging is often done with IDEs. Standalone debuggers like GDB are also used, and these often provide less of a visual environment, usually using a command line.</w:t>
        <w:br/>
        <w:t>Transpiling on the other hand, takes the source-code from a high-level programming language and converts it into bytecode.</w:t>
        <w:br/>
        <w:t xml:space="preserve"> Following a consistent programming style often helps readability.</w:t>
        <w:br/>
        <w:t xml:space="preserve"> Code-breaking algorithms have also existed for centuries.</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