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Many factors, having little or nothing to do with the ability of the computer to efficiently compile and execute the code, contribute to readability.</w:t>
        <w:br/>
        <w:t>This can be a non-trivial task, for example as with parallel processes or some unusual software bugs.</w:t>
        <w:br/>
        <w:t>The following properties are among the most important:</w:t>
        <w:br/>
        <w:br/>
        <w:t xml:space="preserve"> In computer programming, readability refers to the ease with which a human reader can comprehend the purpose, control flow, and operation of source code.</w:t>
        <w:br/>
        <w:t>The purpose of programming is to find a sequence of instructions that will automate the performance of a task (which can be as complex as an operating system) on a computer, often for solving a given problem.</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Programming languages are essential for software development.</w:t>
        <w:br/>
        <w:t>Compilers harnessed the power of computers to make programming easier by allowing programmers to specify calculations by entering a formula using infix notation.</w:t>
        <w:br/>
        <w:t xml:space="preserve"> Readability is important because programmers spend the majority of their time reading, trying to understand, reusing and modifying existing source code, rather than writing new source code.</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