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Unreadable code often leads to bugs, inefficiencies, and duplicated code.</w:t>
        <w:br/>
        <w:t>To produce machine code, the source code must either be compiled or transpiled.</w:t>
        <w:br/>
        <w:t>Compiling takes the source code from a low-level programming language and converts it into machine code.</w:t>
        <w:br/>
        <w:t>It is usually easier to code in "high-level" languages than in "low-level" ones.</w:t>
        <w:br/>
        <w:t>As early as the 9th century, a programmable music sequencer was invented by the Persian Banu Musa brothers, who described an automated mechanical flute player in the Book of Ingenious Devices.</w:t>
        <w:br/>
        <w:t>One approach popular for requirements analysis is Use Case analysis.</w:t>
        <w:br/>
        <w:t>Normally the first step in debugging is to attempt to reproduce the problem.</w:t>
        <w:br/>
        <w:t>Compiling takes the source code from a low-level programming language and converts it into machine code.</w:t>
        <w:br/>
        <w:t>Ideally, the programming language best suited for the task at hand will be selected.</w:t>
        <w:br/>
        <w:t xml:space="preserve"> A similar technique used for database design is Entity-Relationship Modeling (ER Modeling).</w:t>
        <w:br/>
        <w:t>There are many approaches to the Software development process.</w:t>
        <w:br/>
        <w:t>In the 9th century, the Arab mathematician Al-Kindi described a cryptographic algorithm for deciphering encrypted code, in A Manuscript on Deciphering Cryptographic Messages.</w:t>
        <w:br/>
        <w:t>Compiling takes the source code from a low-level programming language and converts it into machine code.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