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 study found that a few simple readability transformations made code shorter and drastically reduced the time to understand it.</w:t>
        <w:br/>
        <w:t>The Unified Modeling Language (UML) is a notation used for both the OOAD and MDA.</w:t>
        <w:br/>
        <w:t>Transpiling on the other hand, takes the source-code from a high-level programming language and converts it into bytecode.</w:t>
        <w:br/>
        <w:t>Scripting and breakpointing is also part of this process.</w:t>
        <w:br/>
        <w:t>However, Charles Babbage had already written his first program for the Analytical Engine in 1837.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Many factors, having little or nothing to do with the ability of the computer to efficiently compile and execute the code, contribute to readability.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Trial-and-error/divide-and-conquer is needed: the programmer will try to remove some parts of the original test case and check if the problem still exists.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 xml:space="preserve"> The academic field and the engineering practice of computer programming are both largely concerned with discovering and implementing the most efficient algorithms for a given class of problems.</w:t>
        <w:br/>
        <w:t>In 1206, the Arab engineer Al-Jazari invented a programmable drum machine where a musical mechanical automaton could be made to play different rhythms and drum patterns, via pegs and cams.</w:t>
        <w:br/>
        <w:t>The choice of language used is subject to many considerations, such as company policy, suitability to task, availability of third-party packages, or individual preference.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