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For this purpose, algorithms are classified into orders using so-called Big O notation, which expresses resource use, such as execution time or memory consumption, in terms of the size of an input.</w:t>
        <w:br/>
        <w:t>Trial-and-error/divide-and-conquer is needed: the programmer will try to remove some parts of the original test case and check if the problem still exists.</w:t>
        <w:br/>
        <w:t>Text editors were also developed that allowed changes and corrections to be made much more easily than with punched cards.</w:t>
        <w:br/>
        <w:t>There exist a lot of different approaches for each of those tasks.</w:t>
        <w:br/>
        <w:t>He gave the first description of cryptanalysis by frequency analysis, the earliest code-breaking algorithm.</w:t>
        <w:br/>
        <w:t>This can be a non-trivial task, for example as with parallel processes or some unusual software bugs.</w:t>
        <w:br/>
        <w:t>Use of a static code analysis tool can help detect some possible problems.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>Text editors were also developed that allowed changes and corrections to be made much more easily than with punched cards.</w:t>
        <w:br/>
        <w:t>Techniques like Code refactoring can enhance readability.</w:t>
        <w:br/>
        <w:t>However, readability is more than just programming style.</w:t>
        <w:br/>
        <w:t>Normally the first step in debugging is to attempt to reproduce the problem.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