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Text editors were also developed that allowed changes and corrections to be made much more easily than with punched cards.</w:t>
        <w:br/>
        <w:t>One approach popular for requirements analysis is Use Case analysis.</w:t>
        <w:br/>
        <w:t>Unreadable code often leads to bugs, inefficiencies, and duplicated code.</w:t>
        <w:br/>
        <w:t>Text editors were also developed that allowed changes and corrections to be made much more easily than with punched cards.</w:t>
        <w:br/>
        <w:t>Integrated development environments (IDEs) aim to integrate all such help.</w:t>
        <w:br/>
        <w:t>In 1801, the Jacquard loom could produce entirely different weaves by changing the "program" – a series of pasteboard cards with holes punched in them.</w:t>
        <w:br/>
        <w:t>Text editors were also developed that allowed changes and corrections to be made much more easily than with punched cards.</w:t>
        <w:br/>
        <w:t>One approach popular for requirements analysis is Use Case analysis.</w:t>
        <w:br/>
        <w:t>However, readability is more than just programming style.</w:t>
        <w:br/>
        <w:t>To produce machine code, the source code must either be compiled or transpiled.</w:t>
        <w:br/>
        <w:t>Techniques like Code refactoring can enhance readability.</w:t>
        <w:br/>
        <w:t xml:space="preserve"> In the 1880s, Herman Hollerith invented the concept of storing data in machine-readable form.</w:t>
        <w:br/>
        <w:t>Programming languages are essential for software development.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