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Some text editors such as Emacs allow GDB to be invoked through them, to provide a visual environment.</w:t>
        <w:br/>
        <w:t>By the late 1960s, data storage devices and computer terminals became inexpensive enough that programs could be created by typing directly into the computers.</w:t>
        <w:br/>
        <w:t>When debugging the problem in a GUI, the programmer can try to skip some user interaction from the original problem description and check if remaining actions are sufficient for bugs to appear.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Programming languages are essential for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Programming languages are essential for software development.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Whatever the approach to development may be, the final program must satisfy some fundamental properties.</w:t>
        <w:br/>
        <w:t>The choice of language used is subject to many considerations, such as company policy, suitability to task, availability of third-party packages, or individual preference.</w:t>
        <w:br/>
        <w:t>The choice of language used is subject to many considerations, such as company policy, suitability to task, availability of third-party packages, or individual preference.</w:t>
        <w:br/>
        <w:t xml:space="preserve"> Some languages are very popular for particular kinds of applications, while some languages are regularly used to write many different kinds of applications.</w:t>
        <w:br/>
        <w:t xml:space="preserve"> High-level languages made the process of developing a program simpler and more understandable, and less bound to the underlying hardware.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