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The Unified Modeling Language (UML) is a notation used for both the OOAD and MDA.</w:t>
        <w:br/>
        <w:t>In 1801, the Jacquard loom could produce entirely different weaves by changing the "program" – a series of pasteboard cards with holes punched in them.</w:t>
        <w:br/>
        <w:t>Text editors were also developed that allowed changes and corrections to be made much more easily than with punched cards.</w:t>
        <w:br/>
        <w:t>Provided the functions in a library follow the appropriate run-time conventions (e.g., method of passing arguments), then these functions may be written in any other language.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text editors such as Emacs allow GDB to be invoked through them, to provide a visual environment.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This can be a non-trivial task, for example as with parallel processes or some unusual software bugs.</w:t>
        <w:br/>
        <w:t>Unreadable code often leads to bugs, inefficiencies, and duplicated code.</w:t>
        <w:br/>
        <w:t>Unreadable code often leads to bugs, inefficiencies, and duplicated code.</w:t>
        <w:br/>
        <w:t>There are many approaches to the Software development process.</w:t>
        <w:br/>
        <w:t>Also, those involved with software development may at times engage in reverse engineering, which is the practice of seeking to understand an existing program so as to re-implement its function in some way.</w:t>
        <w:br/>
        <w:t>Trade-offs from this ideal involve finding enough programmers who know the language to build a team, the availability of compilers for that language, and the efficiency with which programs written in a given language execute.</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