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The choice of language used is subject to many considerations, such as company policy, suitability to task, availability of third-party packages, or individual preference.</w:t>
        <w:br/>
        <w:t>Unreadable code often leads to bugs, inefficiencies, and duplicated code.</w:t>
        <w:br/>
        <w:t>This is interpreted into machine code.</w:t>
        <w:br/>
        <w:t>Proficient programming thus usually requires expertise in several different subjects, including knowledge of the application domain, specialized algorithms, and formal logic.</w:t>
        <w:b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Programming languages are essential for software development.</w:t>
        <w:br/>
        <w:t>Languages form an approximate spectrum from "low-level" to "high-level"; "low-level" languages are typically more machine-oriented and faster to execute, whereas "high-level" languages are more abstract and easier to use but execute less quickly.</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Some languages are more prone to some kinds of faults because their specification does not require compilers to perform as much checking as other languages.</w:t>
        <w:br/>
        <w:t>One approach popular for requirements analysis is Use Case analysis.</w:t>
        <w:b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