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However, because an assembly language is little more than a different notation for a machine language,  two machines with different instruction sets also have different assembly languages.</w:t>
        <w:br/>
        <w:t>When debugging the problem in a GUI, the programmer can try to skip some user interaction from the original problem description and check if remaining actions are sufficient for bugs to appear.</w:t>
        <w:br/>
        <w:t>The source code of a program is written in one or more languages that are intelligible to programmers, rather than machine code, which is directly executed by the central processing unit.</w:t>
        <w:br/>
        <w:t>Many factors, having little or nothing to do with the ability of the computer to efficiently compile and execute the code, contribute to readability.</w:t>
        <w:br/>
        <w:t>The choice of language used is subject to many considerations, such as company policy, suitability to task, availability of third-party packages, or individual preference.</w:t>
        <w:br/>
        <w:t>To produce machine code, the source code must either be compiled or transpiled.</w:t>
        <w:br/>
        <w:t>Text editors were also developed that allowed changes and corrections to be made much more easily than with punched cards.</w:t>
        <w:br/>
        <w:t>Some text editors such as Emacs allow GDB to be invoked through them, to provide a visual environment.</w:t>
        <w:br/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After the bug is reproduced, the input of the program may need to be simplified to make it easier to debug.</w:t>
        <w:br/>
        <w:t>However, Charles Babbage had already written his first program for the Analytical Engine in 1837.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