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Relatedly, software engineering combines engineering techniques and principles with software development.</w:t>
        <w:br/>
        <w:t>He gave the first description of cryptanalysis by frequency analysis, the earliest code-breaking algorithm.</w:t>
        <w:br/>
        <w:t>Also, specific user environment and usage history can make it difficult to reproduce the problem.</w:t>
        <w:br/>
        <w:t>A study found that a few simple readability transformations made code shorter and drastically reduced the time to understand it.</w:t>
        <w:br/>
        <w:t>It is usually easier to code in "high-level" languages than in "low-level" ones.</w:t>
        <w:br/>
        <w:t>Ideally, the programming language best suited for the task at hand will be selected.</w:t>
        <w:br/>
        <w:t>Compiling takes the source code from a low-level programming language and converts it into machine code.</w:t>
        <w:br/>
        <w:t>A study found that a few simple readability transformations made code shorter and drastically reduced the time to understand it.</w:t>
        <w:br/>
        <w:t xml:space="preserve"> Whatever the approach to development may be, the final program must satisfy some fundamental properties.</w:t>
        <w:br/>
        <w:t>Assembly languages were soon developed that let the programmer specify instruction in a text format (e.g., ADD X, TOTAL), with abbreviations for each operation code and meaningful names for specifying addresses.</w:t>
        <w:br/>
        <w:t>This can be a non-trivial task, for example as with parallel processes or some unusual software bugs.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Some text editors such as Emacs allow GDB to be invoked through them, to provide a visual environment.</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