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This is interpreted into machine code.</w:t>
        <w:br/>
        <w:t>It affects the aspects of quality above, including portability, usability and most importantly maintainability.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Some text editors such as Emacs allow GDB to be invoked through them, to provide a visual environment.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Some languages are more prone to some kinds of faults because their specification does not require compilers to perform as much checking as other languages.</w:t>
        <w:br/>
        <w:t>For example, COBOL is still strong in corporate data centers often on large mainframe computers, Fortran in engineering applications, scripting languages in Web development, and C in embedded software.</w:t>
        <w:br/>
        <w:t>Proficient programming thus usually requires expertise in several different subjects, including knowledge of the application domain, specialized algorithms, and formal logic.</w:t>
        <w:br/>
        <w:t>This can be a non-trivial task, for example as with parallel processes or some unusual software bugs.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Implementation techniques include imperative languages (object-oriented or procedural), functional languages, and logic languages.</w:t>
        <w:br/>
        <w:t xml:space="preserve"> Different programming languages support different styles of programming (called programming paradigms).</w:t>
        <w:br/>
        <w:t>For this purpose, algorithms are classified into orders using so-called Big O notation, which expresses resource use, such as execution time or memory consumption, in terms of the size of an input.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