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Trial-and-error/divide-and-conquer is needed: the programmer will try to remove some parts of the original test case and check if the problem still exists.</w:t>
        <w:br/>
        <w:t>The Unified Modeling Language (UML) is a notation used for both the OOAD and MDA.</w:t>
        <w:br/>
        <w:t>Expert programmers are familiar with a variety of well-established algorithms and their respective complexities and use this knowledge to choose algorithms that are best suited to the circumstances.</w:t>
        <w:br/>
        <w:t>However, because an assembly language is little more than a different notation for a machine language,  two machines with different instruction sets also have different assembly languages.</w:t>
        <w:br/>
        <w:t>Many factors, having little or nothing to do with the ability of the computer to efficiently compile and execute the code, contribute to readability.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FORTRAN, the first widely used high-level language to have a functional implementation, came out in 1957, and many other languages were soon developed—in particular, COBOL aimed at commercial data processing, and Lisp for computer research.</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Use of a static code analysis tool can help detect some possible problems.</w:t>
        <w:br/>
        <w:t>Transpiling on the other hand, takes the source-code from a high-level programming language and converts it into bytecode.</w:t>
        <w:br/>
        <w:t xml:space="preserve"> Debugging is often done with IDEs. Standalone debuggers like GDB are also used, and these often provide less of a visual environment, usually using a command line.</w:t>
        <w:br/>
        <w:t>One approach popular for requirements analysis is Use Case analysis.</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