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Provided the functions in a library follow the appropriate run-time conventions (e.g., method of passing arguments), then these functions may be written in any other language.</w:t>
        <w:br/>
        <w:t>This can be a non-trivial task, for example as with parallel processes or some unusual software bugs.</w:t>
        <w:br/>
        <w:t>Techniques like Code refactoring can enhance readability.</w:t>
        <w:br/>
        <w:t>Transpiling on the other hand, takes the source-code from a high-level programming language and converts it into bytecode.</w:t>
        <w:br/>
        <w:t>Ideally, the programming language best suited for the task at hand will be selected.</w:t>
        <w:br/>
        <w:t>To produce machine code, the source code must either be compiled or transpiled.</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 xml:space="preserve"> Programs were mostly entered using punched cards or paper tape.</w:t>
        <w:br/>
        <w:t xml:space="preserve"> Whatever the approach to development may be, the final program must satisfy some fundamental properties.</w:t>
        <w:br/>
        <w:t>The Unified Modeling Language (UML) is a notation used for both the OOAD and MDA.</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