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interpreted into machine code.</w:t>
        <w:br/>
        <w:t>In 1801, the Jacquard loom could produce entirely different weaves by changing the "program" – a series of pasteboard cards with holes punched in them.</w:t>
        <w:br/>
        <w:t>Use of a static code analysis tool can help detect some possible problems.</w:t>
        <w:br/>
        <w:t>The source code of a program is written in one or more languages that are intelligible to programmers, rather than machine code, which is directly executed by the central processing unit.</w:t>
        <w:br/>
        <w:t>Also, specific user environment and usage history can make it difficult to reproduce the problem.</w:t>
        <w:br/>
        <w:t>One approach popular for requirements analysis is Use Case analysis.</w:t>
        <w:br/>
        <w:t>Also, specific user environment and usage history can make it difficult to reproduce the problem.</w:t>
        <w:br/>
        <w:t>Unreadable code often leads to bugs, inefficiencies, and duplicated code.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Transpiling on the other hand, takes the source-code from a high-level programming language and converts it into bytecode.</w:t>
        <w:br/>
        <w:t>Text editors were also developed that allowed changes and corrections to be made much more easily than with punched cards.</w:t>
        <w:br/>
        <w:t xml:space="preserve"> Code-breaking algorithms have also existed for centuries.</w:t>
        <w:br/>
        <w:t>Ideally, the programming language best suited for the task at hand will be selected.</w:t>
        <w:br/>
        <w:t>The purpose of programming is to find a sequence of instructions that will automate the performance of a task (which can be as complex as an operating system) on a computer, often for solving a given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