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with the concept of the stored-program computer introduced in 1949, both programs and data were stored and manipulated in the same way in computer memory.</w:t>
        <w:br/>
        <w:t>The following properties are among the most important:</w:t>
        <w:br/>
        <w:br/>
        <w:t xml:space="preserve"> In computer programming, readability refers to the ease with which a human reader can comprehend the purpose, control flow, and operation of source code.</w:t>
        <w:br/>
        <w:t>Techniques like Code refactoring can enhance readability.</w:t>
        <w:br/>
        <w:t>Ideally, the programming language best suited for the task at hand will be selected.</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However, Charles Babbage had already written his first program for the Analytical Engine in 1837.</w:t>
        <w:br/>
        <w:t>The source code of a program is written in one or more languages that are intelligible to programmers, rather than machine code, which is directly executed by the central processing unit.</w:t>
        <w:br/>
        <w:t>The choice of language used is subject to many considerations, such as company policy, suitability to task, availability of third-party packages, or individual preference.</w:t>
        <w:br/>
        <w:t>Some of these factors include:</w:t>
        <w:br/>
        <w:t xml:space="preserve"> The presentation aspects of this (such as indents, line breaks, color highlighting, and so on) are often handled by the source code editor, but the content aspects reflect the programmer's talent and skills.</w:t>
        <w:br/>
        <w:t>Expert programmers are familiar with a variety of well-established algorithms and their respective complexities and use this knowledge to choose algorithms that are best suited to the circumstances.</w:t>
        <w:br/>
        <w:t>Some of these factors include:</w:t>
        <w:br/>
        <w:t xml:space="preserve"> The presentation aspects of this (such as indents, line breaks, color highlighting, and so on) are often handled by the source code editor, but the content aspects reflect the programmer's talent and skills.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Provided the functions in a library follow the appropriate run-time conventions (e.g., method of passing arguments), then these functions may be written in any other language.</w:t>
        <w:br/>
        <w:t>However, because an assembly language is little more than a different notation for a machine language,  two machines with different instruction sets also have different assembly languages.</w:t>
        <w:br/>
        <w:t>Many factors, having little or nothing to do with the ability of the computer to efficiently compile and execute the code, contribute to readability.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