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Trade-offs from this ideal involve finding enough programmers who know the language to build a team, the availability of compilers for that language, and the efficiency with which programs written in a given language execute.</w:t>
        <w:br/>
        <w:t>In 1801, the Jacquard loom could produce entirely different weaves by changing the "program" – a series of pasteboard cards with holes punched in them.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Integrated development environments (IDEs) aim to integrate all such help.</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Proficient programming thus usually requires expertise in several different subjects, including knowledge of the application domain, specialized algorithms, and formal logic.</w:t>
        <w:br/>
        <w:t>For this purpose, algorithms are classified into orders using so-called Big O notation, which expresses resource use, such as execution time or memory consumption, in terms of the size of an input.</w:t>
        <w:br/>
        <w:t>Provided the functions in a library follow the appropriate run-time conventions (e.g., method of passing arguments), then these functions may be written in any other language.</w:t>
        <w:br/>
        <w:t>Some text editors such as Emacs allow GDB to be invoked through them, to provide a visual environment.</w:t>
        <w:br/>
        <w:t xml:space="preserve"> It is very difficult to determine what are the most popular modern programming languages.</w:t>
        <w:br/>
        <w:t>Compiling takes the source code from a low-level programming language and converts it into machine code.</w:t>
        <w:br/>
        <w:t>Programming involves tasks such as analysis, generating algorithms, profiling algorithms' accuracy and resource consumption, and the implementation of algorithms (usually in a particular programming language, commonly referred to as coding).</w:t>
        <w:br/>
        <w:t xml:space="preserve"> Implementation techniques include imperative languages (object-oriented or procedural), functional languages, and logic languages.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