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Ideally, the programming language best suited for the task at hand will be selected.</w:t>
        <w:br/>
        <w:t>Trade-offs from this ideal involve finding enough programmers who know the language to build a team, the availability of compilers for that language, and the efficiency with which programs written in a given language execute.</w:t>
        <w:br/>
        <w:t>Expert programmers are familiar with a variety of well-established algorithms and their respective complexities and use this knowledge to choose algorithms that are best suited to the circumstances.</w:t>
        <w:br/>
        <w:t>Languages form an approximate spectrum from "low-level" to "high-level"; "low-level" languages are typically more machine-oriented and faster to execute, whereas "high-level" languages are more abstract and easier to use but execute less quickly.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Techniques like Code refactoring can enhance readability.</w:t>
        <w:br/>
        <w:t>The Unified Modeling Language (UML) is a notation used for both the OOAD and MDA.</w:t>
        <w:br/>
        <w:t>Programming languages are essential for software development.</w:t>
        <w:br/>
        <w:t xml:space="preserve"> Readability is important because programmers spend the majority of their time reading, trying to understand, reusing and modifying existing source code, rather than writing new source code.</w:t>
        <w:br/>
        <w:t xml:space="preserve"> Readability is important because programmers spend the majority of their time reading, trying to understand, reusing and modifying existing source code, rather than writing new source code.</w:t>
        <w:br/>
        <w:t>As early as the 9th century, a programmable music sequencer was invented by the Persian Banu Musa brothers, who described an automated mechanical flute player in the Book of Ingenious Devices.</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