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Scripting and breakpointing is also part of this process.</w:t>
        <w:br/>
        <w:t>Many factors, having little or nothing to do with the ability of the computer to efficiently compile and execute the code, contribute to readability.</w:t>
        <w:br/>
        <w:t>Transpiling on the other hand, takes the source-code from a high-level programming language and converts it into bytecode.</w:t>
        <w:br/>
        <w:t>For this purpose, algorithms are classified into orders using so-called Big O notation, which expresses resource use, such as execution time or memory consumption, in terms of the size of an input.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languages are more prone to some kinds of faults because their specification does not require compilers to perform as much checking as other languages.</w:t>
        <w:br/>
        <w:t>However, Charles Babbage had already written his first program for the Analytical Engine in 1837.</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Languages form an approximate spectrum from "low-level" to "high-level"; "low-level" languages are typically more machine-oriented and faster to execute, whereas "high-level" languages are more abstract and easier to use but execute less quickly.</w:t>
        <w:br/>
        <w:t>They are the building blocks for all software, from the simplest applications to the most sophisticated ones.</w:t>
        <w:br/>
        <w:br/>
        <w:t xml:space="preserve"> Computer programming is the process of performing particular computations (or more generally, accomplishing specific computing results), usually by designing and building executable computer programs.</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